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44.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 (</w:t>
      </w:r>
      <w:r>
        <w:rPr>
          <w:b/>
        </w:rPr>
        <w:t xml:space="preserve">sp?</w:t>
      </w:r>
      <w:r>
        <w:t xml:space="preserve">)</w:t>
      </w:r>
      <w:r>
        <w:rPr>
          <w:vertAlign w:val="superscript"/>
        </w:rPr>
        <w:t xml:space="preserve">2</w:t>
      </w:r>
      <w:r>
        <w:t xml:space="preserve">,</w:t>
      </w:r>
      <w:r>
        <w:t xml:space="preserve"> </w:t>
      </w:r>
      <w:r>
        <w:t xml:space="preserve">Rachael Ashby</w:t>
      </w:r>
      <w:r>
        <w:rPr>
          <w:vertAlign w:val="superscript"/>
        </w:rPr>
        <w:t xml:space="preserve">3</w:t>
      </w:r>
      <w:r>
        <w:t xml:space="preserve">,</w:t>
      </w:r>
      <w:r>
        <w:t xml:space="preserve"> </w:t>
      </w:r>
      <w:r>
        <w:t xml:space="preserve">Jeanne Jacobs</w:t>
      </w:r>
      <w:r>
        <w:rPr>
          <w:vertAlign w:val="superscript"/>
        </w:rPr>
        <w:t xml:space="preserve">3</w:t>
      </w:r>
      <w:r>
        <w:t xml:space="preserve">,</w:t>
      </w:r>
      <w:r>
        <w:t xml:space="preserve"> </w:t>
      </w:r>
      <w:r>
        <w:t xml:space="preserve">Stephen Goldson</w:t>
      </w:r>
      <w:r>
        <w:rPr>
          <w:vertAlign w:val="superscript"/>
        </w:rPr>
        <w:t xml:space="preserve">4</w:t>
      </w:r>
      <w:r>
        <w:t xml:space="preserve">,</w:t>
      </w:r>
      <w:r>
        <w:t xml:space="preserve"> </w:t>
      </w:r>
      <w:r>
        <w:t xml:space="preserve">Peter K. Dearden</w:t>
      </w:r>
      <w:r>
        <w:rPr>
          <w:vertAlign w:val="superscript"/>
        </w:rPr>
        <w:t xml:space="preserve">1</w:t>
      </w:r>
    </w:p>
    <w:p>
      <w:pPr>
        <w:pStyle w:val="TextBody"/>
      </w:pPr>
      <w:r>
        <w:rPr>
          <w:b/>
        </w:rPr>
        <w:t xml:space="preserve">Goldson lab dissection ppl? Stephen, please add.</w:t>
      </w:r>
    </w:p>
    <w:p>
      <w:pPr>
        <w:pStyle w:val="TextBody"/>
      </w:pPr>
      <w:r>
        <w:rPr>
          <w:vertAlign w:val="superscript"/>
        </w:rPr>
        <w:t xml:space="preserve">1</w:t>
      </w:r>
      <w:r>
        <w:t xml:space="preserve"> </w:t>
      </w:r>
      <w:r>
        <w:t xml:space="preserve">University of Otago &amp; GA</w:t>
      </w:r>
      <w:r>
        <w:br/>
      </w:r>
      <w:r>
        <w:rPr>
          <w:vertAlign w:val="superscript"/>
        </w:rPr>
        <w:t xml:space="preserve">2</w:t>
      </w:r>
      <w:r>
        <w:t xml:space="preserve"> </w:t>
      </w:r>
      <w:r>
        <w:t xml:space="preserve">AgResearch Palmerston North</w:t>
      </w:r>
      <w:r>
        <w:br/>
      </w:r>
      <w:r>
        <w:rPr>
          <w:vertAlign w:val="superscript"/>
        </w:rPr>
        <w:t xml:space="preserve">3</w:t>
      </w:r>
      <w:r>
        <w:t xml:space="preserve"> </w:t>
      </w:r>
      <w:r>
        <w:t xml:space="preserve">AgResearch Lincoln?</w:t>
      </w:r>
      <w:r>
        <w:br/>
      </w:r>
      <w:r>
        <w:rPr>
          <w:vertAlign w:val="superscript"/>
        </w:rPr>
        <w:t xml:space="preserve">4</w:t>
      </w:r>
      <w:r>
        <w:t xml:space="preserve"> </w:t>
      </w:r>
      <w:r>
        <w:t xml:space="preserve">BPRC</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Biocontrol paragraph (not written yet):</w:t>
      </w:r>
    </w:p>
    <w:p>
      <w:pPr>
        <w:numPr>
          <w:ilvl w:val="0"/>
          <w:numId w:val="1006"/>
        </w:numPr>
        <w:pStyle w:val="Compact"/>
      </w:pPr>
      <w:r>
        <w:t xml:space="preserve">use of biocontrol</w:t>
      </w:r>
    </w:p>
    <w:p>
      <w:pPr>
        <w:numPr>
          <w:ilvl w:val="0"/>
          <w:numId w:val="1006"/>
        </w:numPr>
        <w:pStyle w:val="Compact"/>
      </w:pPr>
      <w:r>
        <w:t xml:space="preserve">problems with establishment</w:t>
      </w:r>
    </w:p>
    <w:p>
      <w:pPr>
        <w:numPr>
          <w:ilvl w:val="0"/>
          <w:numId w:val="1006"/>
        </w:numPr>
        <w:pStyle w:val="Compact"/>
      </w:pPr>
      <w:r>
        <w:t xml:space="preserve">likelihood / incidence of resistance after establishment</w:t>
      </w:r>
    </w:p>
    <w:p>
      <w:pPr>
        <w:numPr>
          <w:ilvl w:val="0"/>
          <w:numId w:val="1006"/>
        </w:numPr>
        <w:pStyle w:val="Compact"/>
      </w:pPr>
      <w:r>
        <w:t xml:space="preserve">Once established, failure of biological control is rare/unprecedented (?), because</w:t>
      </w:r>
      <w:r>
        <w:t xml:space="preserve"> </w:t>
      </w:r>
      <w:r>
        <w:rPr>
          <w:b/>
        </w:rPr>
        <w:t xml:space="preserve">xyz</w:t>
      </w:r>
      <w:r>
        <w:t xml:space="preserve"> </w:t>
      </w:r>
      <w:r>
        <w:t xml:space="preserve">(</w:t>
      </w:r>
      <w:r>
        <w:rPr>
          <w:b/>
        </w:rPr>
        <w:t xml:space="preserve">ref</w:t>
      </w:r>
      <w:r>
        <w:t xml:space="preserve">).</w:t>
      </w:r>
    </w:p>
    <w:p>
      <w:pPr>
        <w:pStyle w:val="FirstParagraph"/>
      </w:pPr>
      <w:r>
        <w:t xml:space="preserve">New Zealand pastures are highly modified landscapes that suffer from severe pest impacts</w:t>
      </w:r>
      <w:r>
        <w:t xml:space="preserve"> </w:t>
      </w:r>
      <w:r>
        <w:t xml:space="preserve">[1]</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[2]</w:t>
      </w:r>
      <w:r>
        <w:t xml:space="preserve">.</w:t>
      </w:r>
      <w:r>
        <w:t xml:space="preserve"> </w:t>
      </w:r>
      <w:r>
        <w:t xml:space="preserve">The Argentine stem weevil (ASW),</w:t>
      </w:r>
      <w:r>
        <w:t xml:space="preserve"> </w:t>
      </w:r>
      <w:r>
        <w:rPr>
          <w:i/>
        </w:rPr>
        <w:t xml:space="preserve">Listronotus bonariensis</w:t>
      </w:r>
      <w:r>
        <w:t xml:space="preserve"> </w:t>
      </w:r>
      <w:r>
        <w:t xml:space="preserve">Kuschel (Coleoptera: Curculionidae), is a particularly destructive, invasive pest of pasture, reaching densities of 700 adults per m</w:t>
      </w:r>
      <w:r>
        <w:rPr>
          <w:vertAlign w:val="superscript"/>
        </w:rPr>
        <w:t xml:space="preserve">2</w:t>
      </w:r>
      <w:r>
        <w:t xml:space="preserve"> </w:t>
      </w:r>
      <w:r>
        <w:t xml:space="preserve">and causing economic impacts up to NZ$200M per annum</w:t>
      </w:r>
      <w:r>
        <w:t xml:space="preserve"> </w:t>
      </w:r>
      <w:r>
        <w:t xml:space="preserve">[1,3,4]</w:t>
      </w:r>
      <w:r>
        <w:t xml:space="preserve">.</w:t>
      </w:r>
      <w:r>
        <w:t xml:space="preserve"> </w:t>
      </w:r>
      <w:r>
        <w:t xml:space="preserve">Conventional, chemical control of ASW is not effective because</w:t>
      </w:r>
      <w:r>
        <w:t xml:space="preserve"> </w:t>
      </w:r>
      <w:r>
        <w:rPr>
          <w:b/>
        </w:rPr>
        <w:t xml:space="preserve">xyz</w:t>
      </w:r>
      <w:r>
        <w:t xml:space="preserve"> </w:t>
      </w:r>
      <w:r>
        <w:t xml:space="preserve">(</w:t>
      </w:r>
      <w:r>
        <w:rPr>
          <w:b/>
        </w:rPr>
        <w:t xml:space="preserve">ref</w:t>
      </w:r>
      <w:r>
        <w:t xml:space="preserve">).</w:t>
      </w:r>
      <w:r>
        <w:t xml:space="preserve"> </w:t>
      </w:r>
      <w:r>
        <w:t xml:space="preserve">To complement endophyte-based plant resisance</w:t>
      </w:r>
      <w:r>
        <w:t xml:space="preserve"> </w:t>
      </w:r>
      <w:r>
        <w:t xml:space="preserve">[5,6]</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[7]</w:t>
      </w:r>
      <w:r>
        <w:t xml:space="preserve">, reducing or eliminating damage by ASW</w:t>
      </w:r>
      <w:r>
        <w:t xml:space="preserve"> </w:t>
      </w:r>
      <w:r>
        <w:t xml:space="preserve">[7–9]</w:t>
      </w:r>
      <w:r>
        <w:t xml:space="preserve">.</w:t>
      </w:r>
    </w:p>
    <w:p>
      <w:pPr>
        <w:pStyle w:val="TextBody"/>
      </w:pPr>
      <w:r>
        <w:t xml:space="preserve">Although ASW was initially well managed by this system, biological control of ASW by</w:t>
      </w:r>
      <w:r>
        <w:t xml:space="preserve"> </w:t>
      </w:r>
      <w:r>
        <w:rPr>
          <w:i/>
        </w:rPr>
        <w:t xml:space="preserve">M. hyperodae</w:t>
      </w:r>
      <w:r>
        <w:t xml:space="preserve"> </w:t>
      </w:r>
      <w:r>
        <w:t xml:space="preserve">failed after about 14 generations</w:t>
      </w:r>
      <w:r>
        <w:t xml:space="preserve"> </w:t>
      </w:r>
      <w:r>
        <w:t xml:space="preserve">[10–12]</w:t>
      </w:r>
      <w:r>
        <w:t xml:space="preserve">.</w:t>
      </w:r>
      <w:r>
        <w:t xml:space="preserve"> </w:t>
      </w:r>
      <w:r>
        <w:t xml:space="preserve">This failure may be the result of adaptation in weevil populations resulting from selection pressure by the parasitoid</w:t>
      </w:r>
      <w:r>
        <w:t xml:space="preserve"> </w:t>
      </w:r>
      <w:r>
        <w:t xml:space="preserve">[11,12]</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[13]</w:t>
      </w:r>
      <w:r>
        <w:t xml:space="preserve">,</w:t>
      </w:r>
      <w:r>
        <w:t xml:space="preserve"> </w:t>
      </w:r>
      <w:r>
        <w:rPr>
          <w:i/>
        </w:rPr>
        <w:t xml:space="preserve">e.g.</w:t>
      </w:r>
      <w:r>
        <w:t xml:space="preserve"> </w:t>
      </w:r>
      <w:r>
        <w:t xml:space="preserve">because of genetic recombination.</w:t>
      </w:r>
      <w:r>
        <w:t xml:space="preserve"> </w:t>
      </w:r>
      <w:r>
        <w:t xml:space="preserve">Although a theoretical pathway for resistance has been established, examples of evolution of resistance to classical biological control have not been reported (</w:t>
      </w:r>
      <w:r>
        <w:rPr>
          <w:b/>
        </w:rPr>
        <w:t xml:space="preserve">are we SURE sure?</w:t>
      </w:r>
      <w:r>
        <w:t xml:space="preserve">).</w:t>
      </w:r>
    </w:p>
    <w:p>
      <w:pPr>
        <w:pStyle w:val="TextBody"/>
      </w:pPr>
      <w:r>
        <w:t xml:space="preserve">Measuring genetic variation in populations of the host and the parasitoid is required to explain this case of evolution of resistance to biocontrol.</w:t>
      </w:r>
      <w:r>
        <w:t xml:space="preserve"> </w:t>
      </w:r>
      <w:r>
        <w:t xml:space="preserve">We address this by genotyping-by-sequencing of a geographical survey of Argentine stem weevil populations in New Zealand.</w:t>
      </w:r>
      <w:r>
        <w:t xml:space="preserve"> </w:t>
      </w:r>
      <w:r>
        <w:t xml:space="preserve">Our experiments reveal a high heterozygosity and a high proportion of unstructured variation across 12 populations from the North and Sourth islands of New Zealand, consistent with large effective population size and gene flow between populations.</w:t>
      </w:r>
      <w:r>
        <w:t xml:space="preserve"> </w:t>
      </w:r>
      <w:r>
        <w:t xml:space="preserve">Genetic variation along a latitudinal cline is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 that the amount of genetic variation in NZ populations of ASW is far higher than detected by traditional molecular markers</w:t>
      </w:r>
      <w:r>
        <w:t xml:space="preserve"> </w:t>
      </w:r>
      <w:r>
        <w:t xml:space="preserve">[14,15]</w:t>
      </w:r>
      <w:r>
        <w:t xml:space="preserve">, suggesting that ASW populations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rPr>
          <w:b/>
        </w:rPr>
        <w:t xml:space="preserve">Stephen, I need these details from your team please</w:t>
      </w:r>
      <w:r>
        <w:t xml:space="preserve">:</w:t>
      </w:r>
    </w:p>
    <w:p>
      <w:pPr>
        <w:numPr>
          <w:ilvl w:val="0"/>
          <w:numId w:val="1007"/>
        </w:numPr>
        <w:pStyle w:val="Compact"/>
      </w:pPr>
      <w:r>
        <w:t xml:space="preserve">weevil collection details for geographic survey</w:t>
      </w:r>
    </w:p>
    <w:p>
      <w:pPr>
        <w:numPr>
          <w:ilvl w:val="0"/>
          <w:numId w:val="1007"/>
        </w:numPr>
        <w:pStyle w:val="Compact"/>
      </w:pPr>
      <w:r>
        <w:t xml:space="preserve">collection and processing/dissection details for parasitised</w:t>
      </w:r>
      <w:r>
        <w:t xml:space="preserve"> </w:t>
      </w:r>
      <w:r>
        <w:rPr>
          <w:i/>
        </w:rPr>
        <w:t xml:space="preserve">vs</w:t>
      </w:r>
      <w:r>
        <w:t xml:space="preserve">. unparasitised expt</w:t>
      </w:r>
    </w:p>
    <w:p>
      <w:pPr>
        <w:pStyle w:val="FirstParagraph"/>
      </w:pPr>
      <w:r>
        <w:t xml:space="preserve">The map in Figure 1 was plotted with the ggmap package for ggplot2</w:t>
      </w:r>
      <w:r>
        <w:t xml:space="preserve"> </w:t>
      </w:r>
      <w:r>
        <w:t xml:space="preserve">[16]</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[17]</w:t>
      </w:r>
      <w:r>
        <w:t xml:space="preserve">, the short-read-only genome was assembled with meraculous</w:t>
      </w:r>
      <w:r>
        <w:t xml:space="preserve"> </w:t>
      </w:r>
      <w:r>
        <w:t xml:space="preserve">[18–20]</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[21]</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[22]</w:t>
      </w:r>
      <w:r>
        <w:t xml:space="preserve">.</w:t>
      </w:r>
      <w:r>
        <w:t xml:space="preserve"> </w:t>
      </w: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All genome assemblies were assessed by size and contiguity statistics and BUSCO analysis</w:t>
      </w:r>
      <w:r>
        <w:t xml:space="preserve"> </w:t>
      </w:r>
      <w:r>
        <w:t xml:space="preserve">[23]</w:t>
      </w:r>
      <w:r>
        <w:t xml:space="preserve">.</w:t>
      </w:r>
      <w:r>
        <w:t xml:space="preserve"> </w:t>
      </w:r>
      <w:r>
        <w:t xml:space="preserve">Redundant contigs were removed from the combined, long read assembly with Purge Haplotigs 0b9afdf</w:t>
      </w:r>
      <w:r>
        <w:t xml:space="preserve"> </w:t>
      </w:r>
      <w:r>
        <w:t xml:space="preserve">[24]</w:t>
      </w:r>
      <w:r>
        <w:t xml:space="preserve"> </w:t>
      </w:r>
      <w:r>
        <w:t xml:space="preserve">using a low, mid and high cutoff of 60, 120 and 190, respectively.</w:t>
      </w:r>
      <w:r>
        <w:t xml:space="preserve"> </w:t>
      </w:r>
      <w:r>
        <w:t xml:space="preserve">We attempted to use RepeatModeler 2.0.1</w:t>
      </w:r>
      <w:r>
        <w:t xml:space="preserve"> </w:t>
      </w:r>
      <w:r>
        <w:t xml:space="preserve">[25]</w:t>
      </w:r>
      <w:r>
        <w:t xml:space="preserve"> </w:t>
      </w:r>
      <w:r>
        <w:t xml:space="preserve">and RepeatMasker 4.1.0</w:t>
      </w:r>
      <w:r>
        <w:t xml:space="preserve"> </w:t>
      </w:r>
      <w:r>
        <w:t xml:space="preserve">[26]</w:t>
      </w:r>
      <w:r>
        <w:t xml:space="preserve"> </w:t>
      </w:r>
      <w:r>
        <w:t xml:space="preserve">from the Dfam TE Tools Container v1.1 (</w:t>
      </w:r>
      <w:hyperlink r:id="rId35">
        <w:r>
          <w:rPr>
            <w:rStyle w:val="InternetLink"/>
          </w:rPr>
          <w:t xml:space="preserve">github.com/Dfam-consortium/TETools</w:t>
        </w:r>
      </w:hyperlink>
      <w:r>
        <w:t xml:space="preserve">) to estimate the repeat content of the long read genomes, but &gt;500M high-scoring Segment Pairs (HSPs) were identified and RepeatModeler did not finish after running for 4 weeks with 144 GB of physical RAM.</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8"/>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[27]</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[27]</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[28]</w:t>
      </w:r>
      <w:r>
        <w:t xml:space="preserve"> </w:t>
      </w:r>
      <w:r>
        <w:t xml:space="preserve">to prune sites in linkage disequilibrium for principal components analysis and discriminant analysis of principal components with the adegenet 2.1.2 package for R</w:t>
      </w:r>
      <w:r>
        <w:t xml:space="preserve"> </w:t>
      </w:r>
      <w:r>
        <w:t xml:space="preserve">[29,30]</w:t>
      </w:r>
      <w:r>
        <w:t xml:space="preserve">.</w:t>
      </w:r>
      <w:r>
        <w:t xml:space="preserve"> </w:t>
      </w:r>
      <w:r>
        <w:t xml:space="preserve">We used PGDSpider 2.1.1.5</w:t>
      </w:r>
      <w:r>
        <w:t xml:space="preserve"> </w:t>
      </w:r>
      <w:r>
        <w:t xml:space="preserve">[31]</w:t>
      </w:r>
      <w:r>
        <w:t xml:space="preserve"> </w:t>
      </w:r>
      <w:r>
        <w:t xml:space="preserve">to convert the un-pruned dataset for detection of loci under selection with BayeScan 2.1</w:t>
      </w:r>
      <w:r>
        <w:t xml:space="preserve"> </w:t>
      </w:r>
      <w:r>
        <w:t xml:space="preserve">[32]</w:t>
      </w:r>
      <w:r>
        <w:t xml:space="preserve">.</w:t>
      </w:r>
      <w:r>
        <w:t xml:space="preserve"> </w:t>
      </w:r>
      <w:r>
        <w:t xml:space="preserve">After statistically phasing SNPs from the un-pruned dataset with SHAPEIT v2 r904</w:t>
      </w:r>
      <w:r>
        <w:t xml:space="preserve"> </w:t>
      </w:r>
      <w:r>
        <w:t xml:space="preserve">[33]</w:t>
      </w:r>
      <w:r>
        <w:t xml:space="preserve">, we analysed cross-population extended haplotype homozygosity with the R package rehh 3.1.0</w:t>
      </w:r>
      <w:r>
        <w:t xml:space="preserve"> </w:t>
      </w:r>
      <w:r>
        <w:t xml:space="preserve">[34]</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[35]</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[36]</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[37]</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1).</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1).</w:t>
      </w:r>
      <w:r>
        <w:t xml:space="preserve"> </w:t>
      </w:r>
      <w:r>
        <w:t xml:space="preserve">Consistent with the raw short read data, we detected an</w:t>
      </w:r>
      <w:r>
        <w:t xml:space="preserve"> </w:t>
      </w:r>
      <w:r>
        <w:rPr>
          <w:b/>
        </w:rPr>
        <w:t xml:space="preserve">extreme level (how much? RM isn’t going to finish)</w:t>
      </w:r>
      <w:r>
        <w:t xml:space="preserve"> </w:t>
      </w:r>
      <w:r>
        <w:t xml:space="preserve">of repeats in the single individual, long read genome (Table 1).</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1).</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1), presumably because of the high rate of heterozygosity in the pooled, long-read dataset.</w:t>
      </w:r>
      <w:r>
        <w:t xml:space="preserve"> </w:t>
      </w:r>
      <w:r>
        <w:t xml:space="preserve">Finally, we used the PCR-free, short read sequencing data from a single individual with the Purge Haplotigs pipeline to remove redundant contigs from the combined long read assembly</w:t>
      </w:r>
      <w:r>
        <w:t xml:space="preserve"> </w:t>
      </w:r>
      <w:r>
        <w:t xml:space="preserve">[24]</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1</w:t>
      </w:r>
      <w:r>
        <w:t xml:space="preserve">.</w:t>
      </w:r>
      <w:r>
        <w:t xml:space="preserve"> </w:t>
      </w:r>
      <w:r>
        <w:t xml:space="preserve">Assembly statistics for the final draft genome and intermediate assemblies. n.d.: not determined. x: RepeatModeler has been running for 6 weeks now, it’s never going to finish.</w:t>
      </w:r>
    </w:p>
    <w:tbl>
      <w:tblPr>
        <w:tblStyle w:val="Table"/>
        <w:tblW w:type="pct" w:w="5000.0"/>
        <w:tblLook w:firstRow="1"/>
        <w:tblCaption w:val="Table 1. Assembly statistics for the final draft genome and intermediate assemblies. n.d.: not determined. x: RepeatModeler has been running for 6 weeks now, it’s never going to finish."/>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Repeat content (%)</w:t>
            </w:r>
          </w:p>
        </w:tc>
        <w:tc>
          <w:p>
            <w:pPr>
              <w:pStyle w:val="Compact"/>
              <w:jc w:val="left"/>
            </w:pPr>
            <w:r>
              <w:t xml:space="preserve">n.d.</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~67.8</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individuals with a modified genotyping-by-sequencing (GBS) protocol</w:t>
      </w:r>
      <w:r>
        <w:t xml:space="preserve"> </w:t>
      </w:r>
      <w:r>
        <w:t xml:space="preserve">[38]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[27]</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complete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an r</w:t>
      </w:r>
      <w:r>
        <w:rPr>
          <w:vertAlign w:val="superscript"/>
        </w:rPr>
        <w:t xml:space="preserve">2</w:t>
      </w:r>
      <w:r>
        <w:t xml:space="preserve"> </w:t>
      </w:r>
      <w:r>
        <w:t xml:space="preserve">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results suggest that NZ populations of ASW are highly heterozygous, but the variation is not highly structured between populations, consistent with a large effective population size and high gene flow between populations.</w:t>
      </w:r>
      <w:r>
        <w:t xml:space="preserve"> </w:t>
      </w:r>
      <w:r>
        <w:t xml:space="preserve">We used discriminant analysis of principal components (DAPC) on the same set of pruned SNPs to find genetic variability associated with differences between populations</w:t>
      </w:r>
      <w:r>
        <w:t xml:space="preserve"> </w:t>
      </w:r>
      <w:r>
        <w:t xml:space="preserve">[29]</w:t>
      </w:r>
      <w:r>
        <w:t xml:space="preserve">.</w:t>
      </w:r>
      <w:r>
        <w:t xml:space="preserve"> </w:t>
      </w:r>
      <w:r>
        <w:t xml:space="preserve">The major linear discriminant, which explains 96.7% of between-population variation, separates populations from North and South of the Alpine divide (Figure 1E), although admixture was evident in all populations except Lincoln (Figure 1F).</w:t>
      </w:r>
      <w:r>
        <w:t xml:space="preserve"> </w:t>
      </w:r>
      <w:r>
        <w:t xml:space="preserve">This indicates a degree of genetic isolation between populations from North and South of the Alpine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Alpine divide.</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and</w:t>
      </w:r>
      <w:r>
        <w:t xml:space="preserve"> </w:t>
      </w:r>
      <w:r>
        <w:rPr>
          <w:b/>
        </w:rPr>
        <w:t xml:space="preserve">E</w:t>
      </w:r>
      <w:r>
        <w:t xml:space="preserve"> </w:t>
      </w:r>
      <w:r>
        <w:t xml:space="preserve">discriminant analysis of principle components (DAPC) of 116 individuals genotyped at 18,715 biallelic sites.</w:t>
      </w:r>
      <w:r>
        <w:t xml:space="preserve"> </w:t>
      </w:r>
      <w:r>
        <w:rPr>
          <w:b/>
        </w:rPr>
        <w:t xml:space="preserve">D</w:t>
      </w:r>
      <w:r>
        <w:t xml:space="preserve"> </w:t>
      </w:r>
      <w:r>
        <w:t xml:space="preserve">The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rPr>
          <w:b/>
        </w:rPr>
        <w:t xml:space="preserve">E</w:t>
      </w:r>
      <w:r>
        <w:t xml:space="preserve"> </w:t>
      </w:r>
      <w:r>
        <w:t xml:space="preserve">Linear discriminant 1 (LD1) explains 96.7% of between-group variability.</w:t>
      </w:r>
      <w:r>
        <w:t xml:space="preserve"> </w:t>
      </w:r>
      <w:r>
        <w:t xml:space="preserve">Individuals from North of the Alpine divide have negative coordinates on LD1, whilst individuals from South of the Alpine divide have positive coordinates.</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admixture (</w:t>
      </w:r>
      <w:r>
        <w:rPr>
          <w:b/>
        </w:rPr>
        <w:t xml:space="preserve">?</w:t>
      </w:r>
      <w:r>
        <w:t xml:space="preserve">).</w:t>
      </w:r>
      <w:r>
        <w:t xml:space="preserve"> </w:t>
      </w:r>
      <w:r>
        <w:t xml:space="preserve">We did not detect admixture between populations from North and South of the Alpine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179 individuals, collected from Lincoln, New Zealand, and Ruakura, New Zealand, because of the decline in parasitism rate recorded at these locations</w:t>
      </w:r>
      <w:r>
        <w:t xml:space="preserve"> </w:t>
      </w:r>
      <w:r>
        <w:t xml:space="preserve">[12]</w:t>
      </w:r>
      <w:r>
        <w:t xml:space="preserve">.</w:t>
      </w:r>
      <w:r>
        <w:t xml:space="preserve"> </w:t>
      </w:r>
      <w:r>
        <w:t xml:space="preserve">The weevils were examined for a parasitoid larva and genotyped at the same loci used for the geographical survey.</w:t>
      </w:r>
      <w:r>
        <w:t xml:space="preserve"> </w:t>
      </w:r>
      <w:r>
        <w:t xml:space="preserve">After filtering and pruning sites in linkage disequilibrium, we used 19,482 SNPs for PCA and DAPC.</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c0a98eb540176c972f6152024990fa2f1a4c6a"/>
      <w:r>
        <w:t xml:space="preserve">Genetic differentiation between ASW populations North and South of the Alpine divide</w:t>
      </w:r>
      <w:bookmarkEnd w:id="46"/>
    </w:p>
    <w:p>
      <w:pPr>
        <w:pStyle w:val="FirstParagraph"/>
      </w:pPr>
      <w:r>
        <w:t xml:space="preserve">Although we did not detect variation associated with presence of a parasitoid, parasitism rate varies across sites in NZ</w:t>
      </w:r>
      <w:r>
        <w:t xml:space="preserve"> </w:t>
      </w:r>
      <w:r>
        <w:t xml:space="preserve">[12]</w:t>
      </w:r>
      <w:r>
        <w:t xml:space="preserve">.</w:t>
      </w:r>
      <w:r>
        <w:t xml:space="preserve"> </w:t>
      </w:r>
      <w:r>
        <w:t xml:space="preserve">To investigate the genetic differentiation between regions, we grouped individuals that were collected from North and South of the Alpine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[39,40]</w:t>
      </w:r>
      <w:r>
        <w:t xml:space="preserve">.</w:t>
      </w:r>
      <w:r>
        <w:t xml:space="preserve"> </w:t>
      </w:r>
      <w:r>
        <w:t xml:space="preserve">Both methods identified putative SNPs under selection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Alpine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home/tom/Projects/stacks-asw/test_bs/bs_plo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Alpine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[32]</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[39,40]</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[32]</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32] (Q &lt; 0.01) or cross-population extended haplotype homozygosity (XPEHH) analysis [39,40] (-log10p &gt; 4). α is BayeScan’s locus-specific component of FST coefficient [32].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9"/>
        </w:numPr>
        <w:pStyle w:val="Compact"/>
      </w:pPr>
      <w:r>
        <w:t xml:space="preserve">model 1: single introduction then bottleneck, spread, diversification, and gene flow.</w:t>
      </w:r>
    </w:p>
    <w:p>
      <w:pPr>
        <w:numPr>
          <w:ilvl w:val="0"/>
          <w:numId w:val="1009"/>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9"/>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9"/>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 biocontrol in New Zealand populations of Argentine stem weevil.</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[14,15]</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Resistance to biocontrol may not be genetic, or manual detection of the parasitoid may not be a strong enough phenotype to separate resistant and susceptible individuals.</w:t>
      </w:r>
      <w:r>
        <w:t xml:space="preserve"> </w:t>
      </w:r>
      <w:r>
        <w:t xml:space="preserve">We suggest that resistance to</w:t>
      </w:r>
      <w:r>
        <w:t xml:space="preserve"> </w:t>
      </w:r>
      <w:r>
        <w:rPr>
          <w:i/>
        </w:rPr>
        <w:t xml:space="preserve">M. hyperodae</w:t>
      </w:r>
      <w:r>
        <w:t xml:space="preserve"> </w:t>
      </w:r>
      <w:r>
        <w:t xml:space="preserve">is encoded by multiple regions of small effect, selected from the high amount of standing variation we detected in ASW populations.</w:t>
      </w:r>
      <w:r>
        <w:t xml:space="preserve"> </w:t>
      </w:r>
      <w:r>
        <w:t xml:space="preserve">A polygenic response on standing variation is consistent with the low level of selection by the biocontrol agent</w:t>
      </w:r>
      <w:r>
        <w:t xml:space="preserve"> </w:t>
      </w:r>
      <w:r>
        <w:t xml:space="preserve">[41,42]</w:t>
      </w:r>
      <w:r>
        <w:t xml:space="preserve">.</w:t>
      </w:r>
      <w:r>
        <w:t xml:space="preserve"> </w:t>
      </w:r>
      <w:r>
        <w:t xml:space="preserve">The number of markers yielded by legacy GBS approaches provide low power to detect polygenic responses resulting from weak selection on standing variation.</w:t>
      </w:r>
      <w:r>
        <w:t xml:space="preserve"> </w:t>
      </w:r>
      <w:r>
        <w:t xml:space="preserve">Higher-resolution genome-wide association studies using genome-wide resequencing with more individuals and a stronger resistance phenotype may allow detection of variation associated with resistance of the weevils to biocontrol.</w:t>
      </w:r>
    </w:p>
    <w:p>
      <w:pPr>
        <w:pStyle w:val="TextBody"/>
      </w:pPr>
      <w:r>
        <w:rPr>
          <w:b/>
        </w:rPr>
        <w:t xml:space="preserve">Probably remove this para</w:t>
      </w:r>
      <w:r>
        <w:t xml:space="preserve">.</w:t>
      </w:r>
      <w:r>
        <w:t xml:space="preserve"> </w:t>
      </w:r>
      <w:r>
        <w:t xml:space="preserve">Our final genome is draft quality and 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w:t>
      </w:r>
      <w:r>
        <w:t xml:space="preserve"> </w:t>
      </w:r>
      <w:r>
        <w:rPr>
          <w:b/>
        </w:rPr>
        <w:t xml:space="preserve">67.8%</w:t>
      </w:r>
      <w:r>
        <w:t xml:space="preserve"> </w:t>
      </w:r>
      <w:r>
        <w:t xml:space="preserve">(Table 1), with a maximum repeat size of 17.7 kb and a repeat</w:t>
      </w:r>
      <w:r>
        <w:t xml:space="preserve"> </w:t>
      </w:r>
      <w:r>
        <w:rPr>
          <w:i/>
        </w:rPr>
        <w:t xml:space="preserve">N</w:t>
      </w:r>
      <w:r>
        <w:rPr>
          <w:vertAlign w:val="subscript"/>
        </w:rPr>
        <w:t xml:space="preserve">50</w:t>
      </w:r>
      <w:r>
        <w:t xml:space="preserve"> </w:t>
      </w:r>
      <w:r>
        <w:t xml:space="preserve">length of 485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(Table 1).</w:t>
      </w:r>
    </w:p>
    <w:p>
      <w:pPr>
        <w:pStyle w:val="TextBody"/>
      </w:pPr>
      <w:r>
        <w:rPr>
          <w:b/>
        </w:rPr>
        <w:t xml:space="preserve">Conclusion (let’s see what demographics say)</w:t>
      </w:r>
    </w:p>
    <w:p>
      <w:pPr>
        <w:pStyle w:val="Heading2"/>
      </w:pPr>
      <w:bookmarkStart w:id="50" w:name="authors-contributions"/>
      <w:r>
        <w:t xml:space="preserve">Authors’ contributions</w:t>
      </w:r>
      <w:bookmarkEnd w:id="50"/>
    </w:p>
    <w:p>
      <w:pPr>
        <w:pStyle w:val="Heading2"/>
      </w:pPr>
      <w:bookmarkStart w:id="51" w:name="acknowledgements"/>
      <w:r>
        <w:t xml:space="preserve">Acknowledgements</w:t>
      </w:r>
      <w:bookmarkEnd w:id="51"/>
    </w:p>
    <w:p>
      <w:pPr>
        <w:pStyle w:val="Heading2"/>
      </w:pPr>
      <w:bookmarkStart w:id="52" w:name="data-availability"/>
      <w:r>
        <w:t xml:space="preserve">Data availability</w:t>
      </w:r>
      <w:bookmarkEnd w:id="52"/>
    </w:p>
    <w:p>
      <w:pPr>
        <w:pStyle w:val="Heading2"/>
      </w:pPr>
      <w:bookmarkStart w:id="53" w:name="references"/>
      <w:r>
        <w:t xml:space="preserve">References</w:t>
      </w:r>
      <w:bookmarkEnd w:id="53"/>
    </w:p>
    <w:bookmarkStart w:id="130" w:name="refs"/>
    <w:bookmarkStart w:id="55" w:name="ref-fergusonQuantifyingEconomicCost2019"/>
    <w:p>
      <w:pPr>
        <w:pStyle w:val="Bibliography"/>
      </w:pPr>
      <w:r>
        <w:t xml:space="preserve">1.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54">
        <w:r>
          <w:rPr>
            <w:rStyle w:val="InternetLink"/>
          </w:rPr>
          <w:t xml:space="preserve">10.1080/00288233.2018.1478860</w:t>
        </w:r>
      </w:hyperlink>
      <w:r>
        <w:t xml:space="preserve">.</w:t>
      </w:r>
    </w:p>
    <w:bookmarkEnd w:id="55"/>
    <w:bookmarkStart w:id="56" w:name="ref-goldsonSevereInsectPest2020"/>
    <w:p>
      <w:pPr>
        <w:pStyle w:val="Bibliography"/>
      </w:pPr>
      <w:r>
        <w:t xml:space="preserve">2. Goldson; Barker; Chapman; Popay, A.J.; Stewart; Caradus; Barratt, B.I.P. Severe insect pest impacts on New Zealand pasture.</w:t>
      </w:r>
      <w:r>
        <w:t xml:space="preserve"> </w:t>
      </w:r>
      <w:r>
        <w:rPr>
          <w:i/>
        </w:rPr>
        <w:t xml:space="preserve">Journal of Insect Science</w:t>
      </w:r>
      <w:r>
        <w:t xml:space="preserve"> </w:t>
      </w:r>
      <w:r>
        <w:rPr>
          <w:b/>
        </w:rPr>
        <w:t xml:space="preserve">2020</w:t>
      </w:r>
      <w:r>
        <w:t xml:space="preserve">,</w:t>
      </w:r>
      <w:r>
        <w:t xml:space="preserve"> </w:t>
      </w:r>
      <w:r>
        <w:rPr>
          <w:i/>
        </w:rPr>
        <w:t xml:space="preserve">in press</w:t>
      </w:r>
      <w:r>
        <w:t xml:space="preserve">.</w:t>
      </w:r>
    </w:p>
    <w:bookmarkEnd w:id="56"/>
    <w:bookmarkStart w:id="57" w:name="ref-barkerArgentineStemWeevil1993"/>
    <w:p>
      <w:pPr>
        <w:pStyle w:val="Bibliography"/>
      </w:pPr>
      <w:r>
        <w:t xml:space="preserve">3. Barker, G.; Addison, P.J. Argentine stem weevil populations and damage in ryegrass swards of contrasting Acremonium infection. In Proceedings of the Proceedings of the 6th Australasian Conference on Grassland Invertebrate Ecology; 1993.</w:t>
      </w:r>
    </w:p>
    <w:bookmarkEnd w:id="57"/>
    <w:bookmarkStart w:id="58" w:name="ref-prestidgeEconomicCostArgentine1991"/>
    <w:p>
      <w:pPr>
        <w:pStyle w:val="Bibliography"/>
      </w:pPr>
      <w:r>
        <w:t xml:space="preserve">4. Prestidge, R.; Barker, G.; Pottinger, R. The economic cost of Argentine stem weevil in pastures in New Zealand. In Proceedings of the Proceedings of the 44th New Zealand Weed and Pest Control Conference; 1991; Vol. 44, pp. 165–170.</w:t>
      </w:r>
    </w:p>
    <w:bookmarkEnd w:id="58"/>
    <w:bookmarkStart w:id="60" w:name="X6d342bbb4f266bbfe45fa3f99ad7b5e362ba507"/>
    <w:p>
      <w:pPr>
        <w:pStyle w:val="Bibliography"/>
      </w:pPr>
      <w:r>
        <w:t xml:space="preserve">5.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59">
        <w:r>
          <w:rPr>
            <w:rStyle w:val="InternetLink"/>
          </w:rPr>
          <w:t xml:space="preserve">10.1007/s13225-013-0239-4</w:t>
        </w:r>
      </w:hyperlink>
      <w:r>
        <w:t xml:space="preserve">.</w:t>
      </w:r>
    </w:p>
    <w:bookmarkEnd w:id="60"/>
    <w:bookmarkStart w:id="62" w:name="ref-kauppinenEpichloeGrassEndophytes2016"/>
    <w:p>
      <w:pPr>
        <w:pStyle w:val="Bibliography"/>
      </w:pPr>
      <w:r>
        <w:t xml:space="preserve">6.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61">
        <w:r>
          <w:rPr>
            <w:rStyle w:val="InternetLink"/>
          </w:rPr>
          <w:t xml:space="preserve">10.1038/nplants.2015.224</w:t>
        </w:r>
      </w:hyperlink>
      <w:r>
        <w:t xml:space="preserve">.</w:t>
      </w:r>
    </w:p>
    <w:bookmarkEnd w:id="62"/>
    <w:bookmarkStart w:id="64" w:name="ref-barkerEarlyImpactEndoparasitoid2006"/>
    <w:p>
      <w:pPr>
        <w:pStyle w:val="Bibliography"/>
      </w:pPr>
      <w:r>
        <w:t xml:space="preserve">7.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63">
        <w:r>
          <w:rPr>
            <w:rStyle w:val="InternetLink"/>
          </w:rPr>
          <w:t xml:space="preserve">10.1093/jee/99.2.273</w:t>
        </w:r>
      </w:hyperlink>
      <w:r>
        <w:t xml:space="preserve">.</w:t>
      </w:r>
    </w:p>
    <w:bookmarkEnd w:id="64"/>
    <w:bookmarkStart w:id="66" w:name="ref-goldsonArgentineStemWeevil2011"/>
    <w:p>
      <w:pPr>
        <w:pStyle w:val="Bibliography"/>
      </w:pPr>
      <w:r>
        <w:t xml:space="preserve">8.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65">
        <w:r>
          <w:rPr>
            <w:rStyle w:val="InternetLink"/>
          </w:rPr>
          <w:t xml:space="preserve">10.1017/S0007485310000507</w:t>
        </w:r>
      </w:hyperlink>
      <w:r>
        <w:t xml:space="preserve">.</w:t>
      </w:r>
    </w:p>
    <w:bookmarkEnd w:id="66"/>
    <w:bookmarkStart w:id="68" w:name="X427b9eb8babf0f6b4017f445287e497782beccb"/>
    <w:p>
      <w:pPr>
        <w:pStyle w:val="Bibliography"/>
      </w:pPr>
      <w:r>
        <w:t xml:space="preserve">9.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67">
        <w:r>
          <w:rPr>
            <w:rStyle w:val="InternetLink"/>
          </w:rPr>
          <w:t xml:space="preserve">10.1603/EN11248</w:t>
        </w:r>
      </w:hyperlink>
      <w:r>
        <w:t xml:space="preserve">.</w:t>
      </w:r>
    </w:p>
    <w:bookmarkEnd w:id="68"/>
    <w:bookmarkStart w:id="70" w:name="ref-popayCurrentStatusArgentine2011"/>
    <w:p>
      <w:pPr>
        <w:pStyle w:val="Bibliography"/>
      </w:pPr>
      <w:r>
        <w:t xml:space="preserve">10.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69">
        <w:r>
          <w:rPr>
            <w:rStyle w:val="InternetLink"/>
          </w:rPr>
          <w:t xml:space="preserve">10.30843/nzpp.2011.64.5962</w:t>
        </w:r>
      </w:hyperlink>
      <w:r>
        <w:t xml:space="preserve">.</w:t>
      </w:r>
    </w:p>
    <w:bookmarkEnd w:id="70"/>
    <w:bookmarkStart w:id="72" w:name="X1d12032c0e7e08b32ad1590492d4f5475384120"/>
    <w:p>
      <w:pPr>
        <w:pStyle w:val="Bibliography"/>
      </w:pPr>
      <w:r>
        <w:t xml:space="preserve">11.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71">
        <w:r>
          <w:rPr>
            <w:rStyle w:val="InternetLink"/>
          </w:rPr>
          <w:t xml:space="preserve">10.3389/fpls.2016.01259</w:t>
        </w:r>
      </w:hyperlink>
      <w:r>
        <w:t xml:space="preserve">.</w:t>
      </w:r>
    </w:p>
    <w:bookmarkEnd w:id="72"/>
    <w:bookmarkStart w:id="74" w:name="X5016a75cf5f6463caf59e425c690635b16be238"/>
    <w:p>
      <w:pPr>
        <w:pStyle w:val="Bibliography"/>
      </w:pPr>
      <w:r>
        <w:t xml:space="preserve">12.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73">
        <w:r>
          <w:rPr>
            <w:rStyle w:val="InternetLink"/>
          </w:rPr>
          <w:t xml:space="preserve">10.1073/pnas.1618416114</w:t>
        </w:r>
      </w:hyperlink>
      <w:r>
        <w:t xml:space="preserve">.</w:t>
      </w:r>
    </w:p>
    <w:bookmarkEnd w:id="74"/>
    <w:bookmarkStart w:id="76" w:name="Xd26afd1c70899bd79ca9bd30e116404ccb4928a"/>
    <w:p>
      <w:pPr>
        <w:pStyle w:val="Bibliography"/>
      </w:pPr>
      <w:r>
        <w:t xml:space="preserve">13.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75">
        <w:r>
          <w:rPr>
            <w:rStyle w:val="InternetLink"/>
          </w:rPr>
          <w:t xml:space="preserve">10.1371/journal.pone.0207610</w:t>
        </w:r>
      </w:hyperlink>
      <w:r>
        <w:t xml:space="preserve">.</w:t>
      </w:r>
    </w:p>
    <w:bookmarkEnd w:id="76"/>
    <w:bookmarkStart w:id="78" w:name="Xef54f6598ba1294f7acf9b63017e70ed7a9ae95"/>
    <w:p>
      <w:pPr>
        <w:pStyle w:val="Bibliography"/>
      </w:pPr>
      <w:r>
        <w:t xml:space="preserve">14.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77">
        <w:r>
          <w:rPr>
            <w:rStyle w:val="InternetLink"/>
          </w:rPr>
          <w:t xml:space="preserve">10.1038/hdy.1994.57</w:t>
        </w:r>
      </w:hyperlink>
      <w:r>
        <w:t xml:space="preserve">.</w:t>
      </w:r>
    </w:p>
    <w:bookmarkEnd w:id="78"/>
    <w:bookmarkStart w:id="79" w:name="ref-vinkPCRGutAnalysis2013"/>
    <w:p>
      <w:pPr>
        <w:pStyle w:val="Bibliography"/>
      </w:pPr>
      <w:r>
        <w:t xml:space="preserve">15.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79"/>
    <w:bookmarkStart w:id="81" w:name="ref-kahleGgmapSpatialVisualization2013"/>
    <w:p>
      <w:pPr>
        <w:pStyle w:val="Bibliography"/>
      </w:pPr>
      <w:r>
        <w:t xml:space="preserve">16.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80">
        <w:r>
          <w:rPr>
            <w:rStyle w:val="InternetLink"/>
          </w:rPr>
          <w:t xml:space="preserve">10.32614/RJ-2013-014</w:t>
        </w:r>
      </w:hyperlink>
      <w:r>
        <w:t xml:space="preserve">.</w:t>
      </w:r>
    </w:p>
    <w:bookmarkEnd w:id="81"/>
    <w:bookmarkStart w:id="82" w:name="ref-bushnellBBMapFastAccurate2014"/>
    <w:p>
      <w:pPr>
        <w:pStyle w:val="Bibliography"/>
      </w:pPr>
      <w:r>
        <w:t xml:space="preserve">17.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82"/>
    <w:bookmarkStart w:id="84" w:name="ref-chapmanMeraculousNovoGenome2011"/>
    <w:p>
      <w:pPr>
        <w:pStyle w:val="Bibliography"/>
      </w:pPr>
      <w:r>
        <w:t xml:space="preserve">18.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83">
        <w:r>
          <w:rPr>
            <w:rStyle w:val="InternetLink"/>
          </w:rPr>
          <w:t xml:space="preserve">10.1371/journal.pone.0023501</w:t>
        </w:r>
      </w:hyperlink>
      <w:r>
        <w:t xml:space="preserve">.</w:t>
      </w:r>
    </w:p>
    <w:bookmarkEnd w:id="84"/>
    <w:bookmarkStart w:id="86" w:name="ref-chapmanMeraculous2FastAccurate2016"/>
    <w:p>
      <w:pPr>
        <w:pStyle w:val="Bibliography"/>
      </w:pPr>
      <w:r>
        <w:t xml:space="preserve">19.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85">
        <w:r>
          <w:rPr>
            <w:rStyle w:val="InternetLink"/>
          </w:rPr>
          <w:t xml:space="preserve">http://arxiv.org/abs/1608.01031</w:t>
        </w:r>
      </w:hyperlink>
      <w:r>
        <w:t xml:space="preserve">.</w:t>
      </w:r>
    </w:p>
    <w:bookmarkEnd w:id="86"/>
    <w:bookmarkStart w:id="88" w:name="X94f9d95eb9b9f1c78d2e3faaf609513e07e0bde"/>
    <w:p>
      <w:pPr>
        <w:pStyle w:val="Bibliography"/>
      </w:pPr>
      <w:r>
        <w:t xml:space="preserve">20.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87">
        <w:r>
          <w:rPr>
            <w:rStyle w:val="InternetLink"/>
          </w:rPr>
          <w:t xml:space="preserve">http://arxiv.org/abs/1703.09852</w:t>
        </w:r>
      </w:hyperlink>
      <w:r>
        <w:t xml:space="preserve">.</w:t>
      </w:r>
    </w:p>
    <w:bookmarkEnd w:id="88"/>
    <w:bookmarkStart w:id="90" w:name="ref-harropHMWDNAExtraction2018"/>
    <w:p>
      <w:pPr>
        <w:pStyle w:val="Bibliography"/>
      </w:pPr>
      <w:r>
        <w:t xml:space="preserve">21. Harrop, T. HMW DNA extraction for insects.</w:t>
      </w:r>
      <w:r>
        <w:t xml:space="preserve"> </w:t>
      </w:r>
      <w:r>
        <w:rPr>
          <w:b/>
        </w:rPr>
        <w:t xml:space="preserve">2018</w:t>
      </w:r>
      <w:r>
        <w:t xml:space="preserve">. doi:</w:t>
      </w:r>
      <w:r>
        <w:t xml:space="preserve"> </w:t>
      </w:r>
      <w:hyperlink r:id="rId89">
        <w:r>
          <w:rPr>
            <w:rStyle w:val="InternetLink"/>
          </w:rPr>
          <w:t xml:space="preserve">10.17504/protocols.io.pnwdmfe</w:t>
        </w:r>
      </w:hyperlink>
      <w:r>
        <w:t xml:space="preserve">.</w:t>
      </w:r>
    </w:p>
    <w:bookmarkEnd w:id="90"/>
    <w:bookmarkStart w:id="92" w:name="ref-kolmogorovAssemblyLongErrorprone2019"/>
    <w:p>
      <w:pPr>
        <w:pStyle w:val="Bibliography"/>
      </w:pPr>
      <w:r>
        <w:t xml:space="preserve">22.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91">
        <w:r>
          <w:rPr>
            <w:rStyle w:val="InternetLink"/>
          </w:rPr>
          <w:t xml:space="preserve">10.1038/s41587-019-0072-8</w:t>
        </w:r>
      </w:hyperlink>
      <w:r>
        <w:t xml:space="preserve">.</w:t>
      </w:r>
    </w:p>
    <w:bookmarkEnd w:id="92"/>
    <w:bookmarkStart w:id="94" w:name="ref-simaoBUSCOAssessingGenome2015"/>
    <w:p>
      <w:pPr>
        <w:pStyle w:val="Bibliography"/>
      </w:pPr>
      <w:r>
        <w:t xml:space="preserve">23.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93">
        <w:r>
          <w:rPr>
            <w:rStyle w:val="InternetLink"/>
          </w:rPr>
          <w:t xml:space="preserve">10.1093/bioinformatics/btv351</w:t>
        </w:r>
      </w:hyperlink>
      <w:r>
        <w:t xml:space="preserve">.</w:t>
      </w:r>
    </w:p>
    <w:bookmarkEnd w:id="94"/>
    <w:bookmarkStart w:id="96" w:name="ref-roachPurgeHaplotigsAllelic2018"/>
    <w:p>
      <w:pPr>
        <w:pStyle w:val="Bibliography"/>
      </w:pPr>
      <w:r>
        <w:t xml:space="preserve">24.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95">
        <w:r>
          <w:rPr>
            <w:rStyle w:val="InternetLink"/>
          </w:rPr>
          <w:t xml:space="preserve">10.1186/s12859-018-2485-7</w:t>
        </w:r>
      </w:hyperlink>
      <w:r>
        <w:t xml:space="preserve">.</w:t>
      </w:r>
    </w:p>
    <w:bookmarkEnd w:id="96"/>
    <w:bookmarkStart w:id="97" w:name="ref-smitRepeatModelerOpen12015"/>
    <w:p>
      <w:pPr>
        <w:pStyle w:val="Bibliography"/>
      </w:pPr>
      <w:r>
        <w:t xml:space="preserve">25. Smit, A.F.A.; Hubley, R. RepeatModeler Open-1.0 2015.</w:t>
      </w:r>
    </w:p>
    <w:bookmarkEnd w:id="97"/>
    <w:bookmarkStart w:id="98" w:name="ref-smitRepeatMaskerOpen42015"/>
    <w:p>
      <w:pPr>
        <w:pStyle w:val="Bibliography"/>
      </w:pPr>
      <w:r>
        <w:t xml:space="preserve">26. Smit, A.F.A.; Hubley, R.; Green, P. RepeatMasker Open-4.0. 2015.</w:t>
      </w:r>
    </w:p>
    <w:bookmarkEnd w:id="98"/>
    <w:bookmarkStart w:id="100" w:name="ref-catchenStacksAnalysisTool2013"/>
    <w:p>
      <w:pPr>
        <w:pStyle w:val="Bibliography"/>
      </w:pPr>
      <w:r>
        <w:t xml:space="preserve">27.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99">
        <w:r>
          <w:rPr>
            <w:rStyle w:val="InternetLink"/>
          </w:rPr>
          <w:t xml:space="preserve">10.1111/mec.12354</w:t>
        </w:r>
      </w:hyperlink>
      <w:r>
        <w:t xml:space="preserve">.</w:t>
      </w:r>
    </w:p>
    <w:bookmarkEnd w:id="100"/>
    <w:bookmarkStart w:id="102" w:name="ref-changSecondgenerationPLINKRising2015"/>
    <w:p>
      <w:pPr>
        <w:pStyle w:val="Bibliography"/>
      </w:pPr>
      <w:r>
        <w:t xml:space="preserve">28.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01">
        <w:r>
          <w:rPr>
            <w:rStyle w:val="InternetLink"/>
          </w:rPr>
          <w:t xml:space="preserve">10.1186/s13742-015-0047-8</w:t>
        </w:r>
      </w:hyperlink>
      <w:r>
        <w:t xml:space="preserve">.</w:t>
      </w:r>
    </w:p>
    <w:bookmarkEnd w:id="102"/>
    <w:bookmarkStart w:id="104" w:name="Xf16f5f4cbf3509fd4e35538a6319338d9577d4b"/>
    <w:p>
      <w:pPr>
        <w:pStyle w:val="Bibliography"/>
      </w:pPr>
      <w:r>
        <w:t xml:space="preserve">29.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03">
        <w:r>
          <w:rPr>
            <w:rStyle w:val="InternetLink"/>
          </w:rPr>
          <w:t xml:space="preserve">10.1186/1471-2156-11-94</w:t>
        </w:r>
      </w:hyperlink>
      <w:r>
        <w:t xml:space="preserve">.</w:t>
      </w:r>
    </w:p>
    <w:bookmarkEnd w:id="104"/>
    <w:bookmarkStart w:id="105" w:name="X944291a5f5944668f7560c568ae824042b83be9"/>
    <w:p>
      <w:pPr>
        <w:pStyle w:val="Bibliography"/>
      </w:pPr>
      <w:r>
        <w:t xml:space="preserve">30. R Core Team R: A Language and Environment for Statistical Computing.</w:t>
      </w:r>
      <w:r>
        <w:t xml:space="preserve"> </w:t>
      </w:r>
      <w:r>
        <w:rPr>
          <w:b/>
        </w:rPr>
        <w:t xml:space="preserve">2015</w:t>
      </w:r>
      <w:r>
        <w:t xml:space="preserve">.</w:t>
      </w:r>
    </w:p>
    <w:bookmarkEnd w:id="105"/>
    <w:bookmarkStart w:id="107" w:name="ref-lischerPGDSpiderAutomatedData2012"/>
    <w:p>
      <w:pPr>
        <w:pStyle w:val="Bibliography"/>
      </w:pPr>
      <w:r>
        <w:t xml:space="preserve">31.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06">
        <w:r>
          <w:rPr>
            <w:rStyle w:val="InternetLink"/>
          </w:rPr>
          <w:t xml:space="preserve">10.1093/bioinformatics/btr642</w:t>
        </w:r>
      </w:hyperlink>
      <w:r>
        <w:t xml:space="preserve">.</w:t>
      </w:r>
    </w:p>
    <w:bookmarkEnd w:id="107"/>
    <w:bookmarkStart w:id="109" w:name="ref-follGenomeScanMethodIdentify2008"/>
    <w:p>
      <w:pPr>
        <w:pStyle w:val="Bibliography"/>
      </w:pPr>
      <w:r>
        <w:t xml:space="preserve">32.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08">
        <w:r>
          <w:rPr>
            <w:rStyle w:val="InternetLink"/>
          </w:rPr>
          <w:t xml:space="preserve">10.1534/genetics.108.092221</w:t>
        </w:r>
      </w:hyperlink>
      <w:r>
        <w:t xml:space="preserve">.</w:t>
      </w:r>
    </w:p>
    <w:bookmarkEnd w:id="109"/>
    <w:bookmarkStart w:id="111" w:name="ref-delaneauLinearComplexityPhasing2012"/>
    <w:p>
      <w:pPr>
        <w:pStyle w:val="Bibliography"/>
      </w:pPr>
      <w:r>
        <w:t xml:space="preserve">33.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10">
        <w:r>
          <w:rPr>
            <w:rStyle w:val="InternetLink"/>
          </w:rPr>
          <w:t xml:space="preserve">10.1038/nmeth.1785</w:t>
        </w:r>
      </w:hyperlink>
      <w:r>
        <w:t xml:space="preserve">.</w:t>
      </w:r>
    </w:p>
    <w:bookmarkEnd w:id="111"/>
    <w:bookmarkStart w:id="113" w:name="X558db7f706eb8c58d07748d989cb3b57ad63663"/>
    <w:p>
      <w:pPr>
        <w:pStyle w:val="Bibliography"/>
      </w:pPr>
      <w:r>
        <w:t xml:space="preserve">34.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12">
        <w:r>
          <w:rPr>
            <w:rStyle w:val="InternetLink"/>
          </w:rPr>
          <w:t xml:space="preserve">10.1111/1755-0998.12634</w:t>
        </w:r>
      </w:hyperlink>
      <w:r>
        <w:t xml:space="preserve">.</w:t>
      </w:r>
    </w:p>
    <w:bookmarkEnd w:id="113"/>
    <w:bookmarkStart w:id="115" w:name="X1181bd8a553d276a10477cca76492dcf5bcc67e"/>
    <w:p>
      <w:pPr>
        <w:pStyle w:val="Bibliography"/>
      </w:pPr>
      <w:r>
        <w:t xml:space="preserve">35.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14">
        <w:r>
          <w:rPr>
            <w:rStyle w:val="InternetLink"/>
          </w:rPr>
          <w:t xml:space="preserve">10.1371/journal.pgen.1003905</w:t>
        </w:r>
      </w:hyperlink>
      <w:r>
        <w:t xml:space="preserve">.</w:t>
      </w:r>
    </w:p>
    <w:bookmarkEnd w:id="115"/>
    <w:bookmarkStart w:id="117" w:name="X2e700f92c6894ae11db64f79d26700cf6bc7cef"/>
    <w:p>
      <w:pPr>
        <w:pStyle w:val="Bibliography"/>
      </w:pPr>
      <w:r>
        <w:t xml:space="preserve">36.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16">
        <w:r>
          <w:rPr>
            <w:rStyle w:val="InternetLink"/>
          </w:rPr>
          <w:t xml:space="preserve">10.1093/bioinformatics/bts480</w:t>
        </w:r>
      </w:hyperlink>
      <w:r>
        <w:t xml:space="preserve">.</w:t>
      </w:r>
    </w:p>
    <w:bookmarkEnd w:id="117"/>
    <w:bookmarkStart w:id="119" w:name="X86f5b1c0410ab16c725f5c26d810badc87f678c"/>
    <w:p>
      <w:pPr>
        <w:pStyle w:val="Bibliography"/>
      </w:pPr>
      <w:r>
        <w:t xml:space="preserve">37.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18">
        <w:r>
          <w:rPr>
            <w:rStyle w:val="InternetLink"/>
          </w:rPr>
          <w:t xml:space="preserve">10.1371/journal.pone.0177459</w:t>
        </w:r>
      </w:hyperlink>
      <w:r>
        <w:t xml:space="preserve">.</w:t>
      </w:r>
    </w:p>
    <w:bookmarkEnd w:id="119"/>
    <w:bookmarkStart w:id="121" w:name="X7e5d3b19ecae1eb3c11e14192d9ddf88629ea2e"/>
    <w:p>
      <w:pPr>
        <w:pStyle w:val="Bibliography"/>
      </w:pPr>
      <w:r>
        <w:t xml:space="preserve">38.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0">
        <w:r>
          <w:rPr>
            <w:rStyle w:val="InternetLink"/>
          </w:rPr>
          <w:t xml:space="preserve">10.1371/journal.pone.0019379</w:t>
        </w:r>
      </w:hyperlink>
      <w:r>
        <w:t xml:space="preserve">.</w:t>
      </w:r>
    </w:p>
    <w:bookmarkEnd w:id="121"/>
    <w:bookmarkStart w:id="123" w:name="X259490a536993ee18fe42d2f01f35b49a29d243"/>
    <w:p>
      <w:pPr>
        <w:pStyle w:val="Bibliography"/>
      </w:pPr>
      <w:r>
        <w:t xml:space="preserve">39.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22">
        <w:r>
          <w:rPr>
            <w:rStyle w:val="InternetLink"/>
          </w:rPr>
          <w:t xml:space="preserve">10.1038/nature06250</w:t>
        </w:r>
      </w:hyperlink>
      <w:r>
        <w:t xml:space="preserve">.</w:t>
      </w:r>
    </w:p>
    <w:bookmarkEnd w:id="123"/>
    <w:bookmarkStart w:id="125" w:name="ref-gautierRehhPackageDetect2012"/>
    <w:p>
      <w:pPr>
        <w:pStyle w:val="Bibliography"/>
      </w:pPr>
      <w:r>
        <w:t xml:space="preserve">40.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24">
        <w:r>
          <w:rPr>
            <w:rStyle w:val="InternetLink"/>
          </w:rPr>
          <w:t xml:space="preserve">10.1093/bioinformatics/bts115</w:t>
        </w:r>
      </w:hyperlink>
      <w:r>
        <w:t xml:space="preserve">.</w:t>
      </w:r>
    </w:p>
    <w:bookmarkEnd w:id="125"/>
    <w:bookmarkStart w:id="127" w:name="X9fa862798d3749e81f2326cd887be723121f572"/>
    <w:p>
      <w:pPr>
        <w:pStyle w:val="Bibliography"/>
      </w:pPr>
      <w:r>
        <w:t xml:space="preserve">41.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26">
        <w:r>
          <w:rPr>
            <w:rStyle w:val="InternetLink"/>
          </w:rPr>
          <w:t xml:space="preserve">10.1016/0169-5347(94)90079-5</w:t>
        </w:r>
      </w:hyperlink>
      <w:r>
        <w:t xml:space="preserve">.</w:t>
      </w:r>
    </w:p>
    <w:bookmarkEnd w:id="127"/>
    <w:bookmarkStart w:id="129" w:name="ref-greenCisTransactingVariants2019"/>
    <w:p>
      <w:pPr>
        <w:pStyle w:val="Bibliography"/>
      </w:pPr>
      <w:r>
        <w:t xml:space="preserve">42.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28">
        <w:r>
          <w:rPr>
            <w:rStyle w:val="InternetLink"/>
          </w:rPr>
          <w:t xml:space="preserve">10.1073/pnas.1821713116</w:t>
        </w:r>
      </w:hyperlink>
      <w:r>
        <w:t xml:space="preserve">.</w:t>
      </w:r>
    </w:p>
    <w:bookmarkEnd w:id="129"/>
    <w:bookmarkEnd w:id="130"/>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44" Target="media/rId44.pdf" /><Relationship Type="http://schemas.openxmlformats.org/officeDocument/2006/relationships/hyperlink" Id="rId85" Target="http://arxiv.org/abs/1608.01031" TargetMode="External" /><Relationship Type="http://schemas.openxmlformats.org/officeDocument/2006/relationships/hyperlink" Id="rId8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9" Target="https://doi.org/10.1007/s13225-013-0239-4" TargetMode="External" /><Relationship Type="http://schemas.openxmlformats.org/officeDocument/2006/relationships/hyperlink" Id="rId126" Target="https://doi.org/10.1016/0169-5347(94)90079-5" TargetMode="External" /><Relationship Type="http://schemas.openxmlformats.org/officeDocument/2006/relationships/hyperlink" Id="rId65" Target="https://doi.org/10.1017/S0007485310000507" TargetMode="External" /><Relationship Type="http://schemas.openxmlformats.org/officeDocument/2006/relationships/hyperlink" Id="rId77" Target="https://doi.org/10.1038/hdy.1994.57" TargetMode="External" /><Relationship Type="http://schemas.openxmlformats.org/officeDocument/2006/relationships/hyperlink" Id="rId122" Target="https://doi.org/10.1038/nature06250" TargetMode="External" /><Relationship Type="http://schemas.openxmlformats.org/officeDocument/2006/relationships/hyperlink" Id="rId110" Target="https://doi.org/10.1038/nmeth.1785" TargetMode="External" /><Relationship Type="http://schemas.openxmlformats.org/officeDocument/2006/relationships/hyperlink" Id="rId61" Target="https://doi.org/10.1038/nplants.2015.224" TargetMode="External" /><Relationship Type="http://schemas.openxmlformats.org/officeDocument/2006/relationships/hyperlink" Id="rId91" Target="https://doi.org/10.1038/s41587-019-0072-8" TargetMode="External" /><Relationship Type="http://schemas.openxmlformats.org/officeDocument/2006/relationships/hyperlink" Id="rId73" Target="https://doi.org/10.1073/pnas.1618416114" TargetMode="External" /><Relationship Type="http://schemas.openxmlformats.org/officeDocument/2006/relationships/hyperlink" Id="rId128" Target="https://doi.org/10.1073/pnas.1821713116" TargetMode="External" /><Relationship Type="http://schemas.openxmlformats.org/officeDocument/2006/relationships/hyperlink" Id="rId54" Target="https://doi.org/10.1080/00288233.2018.1478860" TargetMode="External" /><Relationship Type="http://schemas.openxmlformats.org/officeDocument/2006/relationships/hyperlink" Id="rId106" Target="https://doi.org/10.1093/bioinformatics/btr642" TargetMode="External" /><Relationship Type="http://schemas.openxmlformats.org/officeDocument/2006/relationships/hyperlink" Id="rId124" Target="https://doi.org/10.1093/bioinformatics/bts115" TargetMode="External" /><Relationship Type="http://schemas.openxmlformats.org/officeDocument/2006/relationships/hyperlink" Id="rId116" Target="https://doi.org/10.1093/bioinformatics/bts480" TargetMode="External" /><Relationship Type="http://schemas.openxmlformats.org/officeDocument/2006/relationships/hyperlink" Id="rId93" Target="https://doi.org/10.1093/bioinformatics/btv351" TargetMode="External" /><Relationship Type="http://schemas.openxmlformats.org/officeDocument/2006/relationships/hyperlink" Id="rId63" Target="https://doi.org/10.1093/jee/99.2.273" TargetMode="External" /><Relationship Type="http://schemas.openxmlformats.org/officeDocument/2006/relationships/hyperlink" Id="rId112" Target="https://doi.org/10.1111/1755-0998.12634" TargetMode="External" /><Relationship Type="http://schemas.openxmlformats.org/officeDocument/2006/relationships/hyperlink" Id="rId99" Target="https://doi.org/10.1111/mec.12354" TargetMode="External" /><Relationship Type="http://schemas.openxmlformats.org/officeDocument/2006/relationships/hyperlink" Id="rId103" Target="https://doi.org/10.1186/1471-2156-11-94" TargetMode="External" /><Relationship Type="http://schemas.openxmlformats.org/officeDocument/2006/relationships/hyperlink" Id="rId95" Target="https://doi.org/10.1186/s12859-018-2485-7" TargetMode="External" /><Relationship Type="http://schemas.openxmlformats.org/officeDocument/2006/relationships/hyperlink" Id="rId101" Target="https://doi.org/10.1186/s13742-015-0047-8" TargetMode="External" /><Relationship Type="http://schemas.openxmlformats.org/officeDocument/2006/relationships/hyperlink" Id="rId114" Target="https://doi.org/10.1371/journal.pgen.1003905" TargetMode="External" /><Relationship Type="http://schemas.openxmlformats.org/officeDocument/2006/relationships/hyperlink" Id="rId120" Target="https://doi.org/10.1371/journal.pone.0019379" TargetMode="External" /><Relationship Type="http://schemas.openxmlformats.org/officeDocument/2006/relationships/hyperlink" Id="rId83" Target="https://doi.org/10.1371/journal.pone.0023501" TargetMode="External" /><Relationship Type="http://schemas.openxmlformats.org/officeDocument/2006/relationships/hyperlink" Id="rId118" Target="https://doi.org/10.1371/journal.pone.0177459" TargetMode="External" /><Relationship Type="http://schemas.openxmlformats.org/officeDocument/2006/relationships/hyperlink" Id="rId75" Target="https://doi.org/10.1371/journal.pone.0207610" TargetMode="External" /><Relationship Type="http://schemas.openxmlformats.org/officeDocument/2006/relationships/hyperlink" Id="rId108" Target="https://doi.org/10.1534/genetics.108.092221" TargetMode="External" /><Relationship Type="http://schemas.openxmlformats.org/officeDocument/2006/relationships/hyperlink" Id="rId67" Target="https://doi.org/10.1603/EN11248" TargetMode="External" /><Relationship Type="http://schemas.openxmlformats.org/officeDocument/2006/relationships/hyperlink" Id="rId89" Target="https://doi.org/10.17504/protocols.io.pnwdmfe" TargetMode="External" /><Relationship Type="http://schemas.openxmlformats.org/officeDocument/2006/relationships/hyperlink" Id="rId69" Target="https://doi.org/10.30843/nzpp.2011.64.5962" TargetMode="External" /><Relationship Type="http://schemas.openxmlformats.org/officeDocument/2006/relationships/hyperlink" Id="rId80" Target="https://doi.org/10.32614/RJ-2013-014" TargetMode="External" /><Relationship Type="http://schemas.openxmlformats.org/officeDocument/2006/relationships/hyperlink" Id="rId71"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s>
</file>

<file path=word/_rels/footnotes.xml.rels><?xml version="1.0" encoding="UTF-8"?>
<Relationships xmlns="http://schemas.openxmlformats.org/package/2006/relationships"><Relationship Type="http://schemas.openxmlformats.org/officeDocument/2006/relationships/hyperlink" Id="rId85" Target="http://arxiv.org/abs/1608.01031" TargetMode="External" /><Relationship Type="http://schemas.openxmlformats.org/officeDocument/2006/relationships/hyperlink" Id="rId8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9" Target="https://doi.org/10.1007/s13225-013-0239-4" TargetMode="External" /><Relationship Type="http://schemas.openxmlformats.org/officeDocument/2006/relationships/hyperlink" Id="rId126" Target="https://doi.org/10.1016/0169-5347(94)90079-5" TargetMode="External" /><Relationship Type="http://schemas.openxmlformats.org/officeDocument/2006/relationships/hyperlink" Id="rId65" Target="https://doi.org/10.1017/S0007485310000507" TargetMode="External" /><Relationship Type="http://schemas.openxmlformats.org/officeDocument/2006/relationships/hyperlink" Id="rId77" Target="https://doi.org/10.1038/hdy.1994.57" TargetMode="External" /><Relationship Type="http://schemas.openxmlformats.org/officeDocument/2006/relationships/hyperlink" Id="rId122" Target="https://doi.org/10.1038/nature06250" TargetMode="External" /><Relationship Type="http://schemas.openxmlformats.org/officeDocument/2006/relationships/hyperlink" Id="rId110" Target="https://doi.org/10.1038/nmeth.1785" TargetMode="External" /><Relationship Type="http://schemas.openxmlformats.org/officeDocument/2006/relationships/hyperlink" Id="rId61" Target="https://doi.org/10.1038/nplants.2015.224" TargetMode="External" /><Relationship Type="http://schemas.openxmlformats.org/officeDocument/2006/relationships/hyperlink" Id="rId91" Target="https://doi.org/10.1038/s41587-019-0072-8" TargetMode="External" /><Relationship Type="http://schemas.openxmlformats.org/officeDocument/2006/relationships/hyperlink" Id="rId73" Target="https://doi.org/10.1073/pnas.1618416114" TargetMode="External" /><Relationship Type="http://schemas.openxmlformats.org/officeDocument/2006/relationships/hyperlink" Id="rId128" Target="https://doi.org/10.1073/pnas.1821713116" TargetMode="External" /><Relationship Type="http://schemas.openxmlformats.org/officeDocument/2006/relationships/hyperlink" Id="rId54" Target="https://doi.org/10.1080/00288233.2018.1478860" TargetMode="External" /><Relationship Type="http://schemas.openxmlformats.org/officeDocument/2006/relationships/hyperlink" Id="rId106" Target="https://doi.org/10.1093/bioinformatics/btr642" TargetMode="External" /><Relationship Type="http://schemas.openxmlformats.org/officeDocument/2006/relationships/hyperlink" Id="rId124" Target="https://doi.org/10.1093/bioinformatics/bts115" TargetMode="External" /><Relationship Type="http://schemas.openxmlformats.org/officeDocument/2006/relationships/hyperlink" Id="rId116" Target="https://doi.org/10.1093/bioinformatics/bts480" TargetMode="External" /><Relationship Type="http://schemas.openxmlformats.org/officeDocument/2006/relationships/hyperlink" Id="rId93" Target="https://doi.org/10.1093/bioinformatics/btv351" TargetMode="External" /><Relationship Type="http://schemas.openxmlformats.org/officeDocument/2006/relationships/hyperlink" Id="rId63" Target="https://doi.org/10.1093/jee/99.2.273" TargetMode="External" /><Relationship Type="http://schemas.openxmlformats.org/officeDocument/2006/relationships/hyperlink" Id="rId112" Target="https://doi.org/10.1111/1755-0998.12634" TargetMode="External" /><Relationship Type="http://schemas.openxmlformats.org/officeDocument/2006/relationships/hyperlink" Id="rId99" Target="https://doi.org/10.1111/mec.12354" TargetMode="External" /><Relationship Type="http://schemas.openxmlformats.org/officeDocument/2006/relationships/hyperlink" Id="rId103" Target="https://doi.org/10.1186/1471-2156-11-94" TargetMode="External" /><Relationship Type="http://schemas.openxmlformats.org/officeDocument/2006/relationships/hyperlink" Id="rId95" Target="https://doi.org/10.1186/s12859-018-2485-7" TargetMode="External" /><Relationship Type="http://schemas.openxmlformats.org/officeDocument/2006/relationships/hyperlink" Id="rId101" Target="https://doi.org/10.1186/s13742-015-0047-8" TargetMode="External" /><Relationship Type="http://schemas.openxmlformats.org/officeDocument/2006/relationships/hyperlink" Id="rId114" Target="https://doi.org/10.1371/journal.pgen.1003905" TargetMode="External" /><Relationship Type="http://schemas.openxmlformats.org/officeDocument/2006/relationships/hyperlink" Id="rId120" Target="https://doi.org/10.1371/journal.pone.0019379" TargetMode="External" /><Relationship Type="http://schemas.openxmlformats.org/officeDocument/2006/relationships/hyperlink" Id="rId83" Target="https://doi.org/10.1371/journal.pone.0023501" TargetMode="External" /><Relationship Type="http://schemas.openxmlformats.org/officeDocument/2006/relationships/hyperlink" Id="rId118" Target="https://doi.org/10.1371/journal.pone.0177459" TargetMode="External" /><Relationship Type="http://schemas.openxmlformats.org/officeDocument/2006/relationships/hyperlink" Id="rId75" Target="https://doi.org/10.1371/journal.pone.0207610" TargetMode="External" /><Relationship Type="http://schemas.openxmlformats.org/officeDocument/2006/relationships/hyperlink" Id="rId108" Target="https://doi.org/10.1534/genetics.108.092221" TargetMode="External" /><Relationship Type="http://schemas.openxmlformats.org/officeDocument/2006/relationships/hyperlink" Id="rId67" Target="https://doi.org/10.1603/EN11248" TargetMode="External" /><Relationship Type="http://schemas.openxmlformats.org/officeDocument/2006/relationships/hyperlink" Id="rId89" Target="https://doi.org/10.17504/protocols.io.pnwdmfe" TargetMode="External" /><Relationship Type="http://schemas.openxmlformats.org/officeDocument/2006/relationships/hyperlink" Id="rId69" Target="https://doi.org/10.30843/nzpp.2011.64.5962" TargetMode="External" /><Relationship Type="http://schemas.openxmlformats.org/officeDocument/2006/relationships/hyperlink" Id="rId80" Target="https://doi.org/10.32614/RJ-2013-014" TargetMode="External" /><Relationship Type="http://schemas.openxmlformats.org/officeDocument/2006/relationships/hyperlink" Id="rId71"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2020-05-17T23:10:34Z</dcterms:created>
  <dcterms:modified xsi:type="dcterms:W3CDTF">2020-05-17T23:10:34Z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